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b/>
          <w:bCs/>
          <w:color w:val="000000"/>
          <w:sz w:val="24"/>
          <w:szCs w:val="24"/>
        </w:rPr>
      </w:pPr>
      <w:bookmarkStart w:id="0" w:name="_heading=h.zedw6plqgjoi" w:colFirst="0" w:colLast="0"/>
      <w:bookmarkStart w:id="1" w:name="_GoBack"/>
      <w:bookmarkEnd w:id="0"/>
      <w:bookmarkEnd w:id="1"/>
    </w:p>
    <w:p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</w:rPr>
      </w:pPr>
    </w:p>
    <w:p>
      <w:pPr>
        <w:spacing w:after="0" w:line="240" w:lineRule="auto"/>
        <w:jc w:val="center"/>
        <w:rPr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>UMOWA </w:t>
      </w:r>
    </w:p>
    <w:p>
      <w:pPr>
        <w:spacing w:after="0" w:line="240" w:lineRule="auto"/>
        <w:jc w:val="center"/>
        <w:rPr>
          <w:sz w:val="24"/>
          <w:szCs w:val="24"/>
        </w:rPr>
      </w:pPr>
      <w:r>
        <w:rPr>
          <w:color w:val="000000"/>
          <w:sz w:val="24"/>
          <w:szCs w:val="24"/>
        </w:rPr>
        <w:t>nr …………….........…………….</w:t>
      </w:r>
    </w:p>
    <w:p>
      <w:pPr>
        <w:spacing w:after="0" w:line="240" w:lineRule="auto"/>
        <w:jc w:val="center"/>
        <w:rPr>
          <w:sz w:val="24"/>
          <w:szCs w:val="24"/>
        </w:rPr>
      </w:pPr>
      <w:r>
        <w:rPr>
          <w:color w:val="000000"/>
          <w:sz w:val="24"/>
          <w:szCs w:val="24"/>
        </w:rPr>
        <w:t>zawarta w dniu………………………………………   </w:t>
      </w:r>
    </w:p>
    <w:p>
      <w:pPr>
        <w:spacing w:after="0" w:line="240" w:lineRule="auto"/>
        <w:jc w:val="center"/>
        <w:rPr>
          <w:sz w:val="24"/>
          <w:szCs w:val="24"/>
        </w:rPr>
      </w:pPr>
      <w:r>
        <w:rPr>
          <w:color w:val="000000"/>
          <w:sz w:val="24"/>
          <w:szCs w:val="24"/>
        </w:rPr>
        <w:t> w  .............................................................. </w:t>
      </w:r>
    </w:p>
    <w:p>
      <w:pPr>
        <w:spacing w:after="0" w:line="240" w:lineRule="auto"/>
        <w:rPr>
          <w:sz w:val="24"/>
          <w:szCs w:val="24"/>
        </w:rPr>
      </w:pPr>
    </w:p>
    <w:p>
      <w:pPr>
        <w:spacing w:after="0" w:line="240" w:lineRule="auto"/>
        <w:rPr>
          <w:sz w:val="24"/>
          <w:szCs w:val="24"/>
        </w:rPr>
      </w:pPr>
      <w:r>
        <w:rPr>
          <w:color w:val="000000"/>
          <w:sz w:val="24"/>
          <w:szCs w:val="24"/>
        </w:rPr>
        <w:t>pomiędzy:</w:t>
      </w:r>
    </w:p>
    <w:p>
      <w:pPr>
        <w:spacing w:after="0" w:line="240" w:lineRule="auto"/>
        <w:jc w:val="both"/>
        <w:rPr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>Elbląskim Stowarzyszeniem Wspierania Inicjatyw Pozarządowych</w:t>
      </w:r>
      <w:r>
        <w:rPr>
          <w:color w:val="000000"/>
          <w:sz w:val="24"/>
          <w:szCs w:val="24"/>
        </w:rPr>
        <w:t xml:space="preserve"> z siedzibą w Elblągu, ul. </w:t>
      </w:r>
      <w:proofErr w:type="spellStart"/>
      <w:r>
        <w:rPr>
          <w:color w:val="000000"/>
          <w:sz w:val="24"/>
          <w:szCs w:val="24"/>
        </w:rPr>
        <w:t>Stawidłowa</w:t>
      </w:r>
      <w:proofErr w:type="spellEnd"/>
      <w:r>
        <w:rPr>
          <w:color w:val="000000"/>
          <w:sz w:val="24"/>
          <w:szCs w:val="24"/>
        </w:rPr>
        <w:t xml:space="preserve"> 3, 82-300 Elbląg, NIP: 578-10-91-298, REGON: 170301592, wpisanego do Krajowego Rejestru Sądowego pod numerem: 0000001316, zwanym dalej „</w:t>
      </w:r>
      <w:r>
        <w:rPr>
          <w:b/>
          <w:bCs/>
          <w:color w:val="000000"/>
          <w:sz w:val="24"/>
          <w:szCs w:val="24"/>
        </w:rPr>
        <w:t>Zamawiającym</w:t>
      </w:r>
      <w:r>
        <w:rPr>
          <w:color w:val="000000"/>
          <w:sz w:val="24"/>
          <w:szCs w:val="24"/>
        </w:rPr>
        <w:t>”,</w:t>
      </w:r>
    </w:p>
    <w:p>
      <w:pPr>
        <w:spacing w:after="0" w:line="240" w:lineRule="auto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reprezentowanym przez:</w:t>
      </w:r>
    </w:p>
    <w:p>
      <w:pPr>
        <w:spacing w:after="0" w:line="240" w:lineRule="auto"/>
        <w:rPr>
          <w:sz w:val="24"/>
          <w:szCs w:val="24"/>
        </w:rPr>
      </w:pPr>
      <w:r>
        <w:rPr>
          <w:color w:val="000000"/>
          <w:sz w:val="24"/>
          <w:szCs w:val="24"/>
        </w:rPr>
        <w:t>……………………………………………………………..…………………………………………………….…………..…</w:t>
      </w:r>
    </w:p>
    <w:p>
      <w:pPr>
        <w:spacing w:after="0" w:line="240" w:lineRule="auto"/>
        <w:rPr>
          <w:sz w:val="24"/>
          <w:szCs w:val="24"/>
        </w:rPr>
      </w:pPr>
      <w:r>
        <w:rPr>
          <w:color w:val="000000"/>
          <w:sz w:val="24"/>
          <w:szCs w:val="24"/>
        </w:rPr>
        <w:t>a </w:t>
      </w:r>
    </w:p>
    <w:p>
      <w:pPr>
        <w:spacing w:after="0" w:line="240" w:lineRule="auto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……………………………………………………………………………………..…,  zwanym dalej „</w:t>
      </w:r>
      <w:r>
        <w:rPr>
          <w:b/>
          <w:bCs/>
          <w:color w:val="000000"/>
          <w:sz w:val="24"/>
          <w:szCs w:val="24"/>
        </w:rPr>
        <w:t>Wykonawcą</w:t>
      </w:r>
      <w:r>
        <w:rPr>
          <w:color w:val="000000"/>
          <w:sz w:val="24"/>
          <w:szCs w:val="24"/>
        </w:rPr>
        <w:t>”,</w:t>
      </w:r>
    </w:p>
    <w:p>
      <w:pPr>
        <w:spacing w:after="0" w:line="240" w:lineRule="auto"/>
        <w:rPr>
          <w:color w:val="000000"/>
          <w:sz w:val="24"/>
          <w:szCs w:val="24"/>
        </w:rPr>
      </w:pPr>
    </w:p>
    <w:p>
      <w:pPr>
        <w:spacing w:after="0" w:line="240" w:lineRule="auto"/>
        <w:rPr>
          <w:sz w:val="24"/>
          <w:szCs w:val="24"/>
        </w:rPr>
      </w:pPr>
      <w:r>
        <w:rPr>
          <w:color w:val="000000"/>
          <w:sz w:val="24"/>
          <w:szCs w:val="24"/>
        </w:rPr>
        <w:t>reprezentowanym przez …………………………………………..</w:t>
      </w:r>
    </w:p>
    <w:p>
      <w:pPr>
        <w:spacing w:after="0" w:line="240" w:lineRule="auto"/>
        <w:rPr>
          <w:sz w:val="24"/>
          <w:szCs w:val="24"/>
        </w:rPr>
      </w:pPr>
    </w:p>
    <w:p>
      <w:pPr>
        <w:spacing w:after="0" w:line="240" w:lineRule="auto"/>
        <w:rPr>
          <w:sz w:val="24"/>
          <w:szCs w:val="24"/>
        </w:rPr>
      </w:pPr>
    </w:p>
    <w:p>
      <w:pPr>
        <w:spacing w:after="0" w:line="240" w:lineRule="auto"/>
        <w:jc w:val="center"/>
        <w:rPr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>§ 1</w:t>
      </w:r>
    </w:p>
    <w:p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25" w:hanging="357"/>
        <w:jc w:val="both"/>
        <w:rPr>
          <w:sz w:val="24"/>
          <w:szCs w:val="24"/>
        </w:rPr>
      </w:pPr>
      <w:bookmarkStart w:id="2" w:name="_heading=h.y3sv92h84fqp" w:colFirst="0" w:colLast="0"/>
      <w:bookmarkEnd w:id="2"/>
      <w:r>
        <w:rPr>
          <w:color w:val="000000"/>
          <w:sz w:val="24"/>
          <w:szCs w:val="24"/>
        </w:rPr>
        <w:t xml:space="preserve">Niniejsza umowa została zawarta w wyniku rozstrzygnięcia postępowania nr 4/MENTOR/2026, prowadzonego w trybie zasady konkurencyjności, na realizację usługi trenerskiej podczas szkoleń wyjazdowych </w:t>
      </w:r>
      <w:r>
        <w:rPr>
          <w:sz w:val="24"/>
          <w:szCs w:val="24"/>
        </w:rPr>
        <w:t xml:space="preserve">w ramach projektu </w:t>
      </w:r>
      <w:r>
        <w:rPr>
          <w:i/>
          <w:iCs/>
          <w:color w:val="000000"/>
          <w:sz w:val="24"/>
          <w:szCs w:val="24"/>
        </w:rPr>
        <w:t>„Mentor 5.0 - kompetencje dla subregionu elbląskiego” nr FEWM.06.01-IZ.00-0009/24</w:t>
      </w:r>
    </w:p>
    <w:p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25" w:hanging="357"/>
        <w:jc w:val="both"/>
        <w:rPr>
          <w:sz w:val="24"/>
          <w:szCs w:val="24"/>
        </w:rPr>
      </w:pPr>
      <w:r>
        <w:rPr>
          <w:sz w:val="24"/>
          <w:szCs w:val="24"/>
        </w:rPr>
        <w:t>Niniejsza umowa dotyczy zamówienia wskazanego w § 2 ust. 1.</w:t>
      </w:r>
    </w:p>
    <w:p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25" w:hanging="357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Niniejsza umowa jest finansowana w ramach projektu „Mentor 5.0 – kompetencje dla subregionu elbląskiego” współfinansowanego ze środków Unii Europejskiej w ramach programu Fundusze Europejskie dla Warmii i Mazur (</w:t>
      </w:r>
      <w:proofErr w:type="spellStart"/>
      <w:r>
        <w:rPr>
          <w:color w:val="000000"/>
          <w:sz w:val="24"/>
          <w:szCs w:val="24"/>
        </w:rPr>
        <w:t>FEWiM</w:t>
      </w:r>
      <w:proofErr w:type="spellEnd"/>
      <w:r>
        <w:rPr>
          <w:color w:val="000000"/>
          <w:sz w:val="24"/>
          <w:szCs w:val="24"/>
        </w:rPr>
        <w:t>) na lata 2021-2027.</w:t>
      </w:r>
    </w:p>
    <w:p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25"/>
        <w:jc w:val="both"/>
        <w:rPr>
          <w:color w:val="000000"/>
          <w:sz w:val="24"/>
          <w:szCs w:val="24"/>
        </w:rPr>
      </w:pPr>
    </w:p>
    <w:p>
      <w:pPr>
        <w:spacing w:after="0" w:line="240" w:lineRule="auto"/>
        <w:jc w:val="center"/>
        <w:rPr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>§ 2</w:t>
      </w:r>
    </w:p>
    <w:p>
      <w:pPr>
        <w:numPr>
          <w:ilvl w:val="0"/>
          <w:numId w:val="10"/>
        </w:numPr>
        <w:spacing w:after="0" w:line="240" w:lineRule="auto"/>
        <w:ind w:left="425"/>
        <w:jc w:val="both"/>
        <w:rPr>
          <w:sz w:val="24"/>
          <w:szCs w:val="24"/>
        </w:rPr>
      </w:pPr>
      <w:r>
        <w:rPr>
          <w:color w:val="000000"/>
          <w:sz w:val="24"/>
          <w:szCs w:val="24"/>
        </w:rPr>
        <w:t xml:space="preserve">Przedmiotem niniejszej umowy jest realizacja usługi trenerskiej podczas wyjazdowych szkoleń zgodnie z warunkami określonymi w </w:t>
      </w:r>
      <w:r>
        <w:rPr>
          <w:sz w:val="24"/>
          <w:szCs w:val="24"/>
        </w:rPr>
        <w:t>z</w:t>
      </w:r>
      <w:r>
        <w:rPr>
          <w:color w:val="000000"/>
          <w:sz w:val="24"/>
          <w:szCs w:val="24"/>
        </w:rPr>
        <w:t>apytaniu ofertowym oraz w ofercie Wykonawcy.</w:t>
      </w:r>
    </w:p>
    <w:p>
      <w:pPr>
        <w:numPr>
          <w:ilvl w:val="0"/>
          <w:numId w:val="10"/>
        </w:numPr>
        <w:spacing w:after="0" w:line="240" w:lineRule="auto"/>
        <w:ind w:left="425"/>
        <w:jc w:val="both"/>
        <w:rPr>
          <w:sz w:val="24"/>
          <w:szCs w:val="24"/>
        </w:rPr>
      </w:pPr>
      <w:r>
        <w:rPr>
          <w:color w:val="000000"/>
          <w:sz w:val="24"/>
          <w:szCs w:val="24"/>
        </w:rPr>
        <w:t xml:space="preserve">Przedmiot zamówienia ma być wykonany zgodnie z wymaganiami zawartymi w zapytaniu ofertowym (i ewentualnymi wyjaśnieniami i zmianami do zapytania) oraz zgodnie z ofertą złożoną przez Wykonawcę. </w:t>
      </w:r>
    </w:p>
    <w:p>
      <w:pPr>
        <w:numPr>
          <w:ilvl w:val="0"/>
          <w:numId w:val="10"/>
        </w:numPr>
        <w:spacing w:after="0" w:line="240" w:lineRule="auto"/>
        <w:ind w:left="425"/>
        <w:jc w:val="both"/>
        <w:rPr>
          <w:sz w:val="24"/>
          <w:szCs w:val="24"/>
        </w:rPr>
      </w:pPr>
      <w:r>
        <w:rPr>
          <w:color w:val="000000"/>
          <w:sz w:val="24"/>
          <w:szCs w:val="24"/>
        </w:rPr>
        <w:t>W przypadku rozbieżności pomiędzy treścią zapytania ofertowego a ofertą Wykonawcy, przeważa treść zapytania ofertowego. </w:t>
      </w:r>
    </w:p>
    <w:p>
      <w:pPr>
        <w:numPr>
          <w:ilvl w:val="0"/>
          <w:numId w:val="10"/>
        </w:numPr>
        <w:spacing w:after="0" w:line="240" w:lineRule="auto"/>
        <w:ind w:left="425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Strony dopuszczają możliwość zmniejszenia lub zwiększenia liczby osób objętych przedmiotem zamówienia</w:t>
      </w:r>
      <w:r>
        <w:rPr>
          <w:sz w:val="24"/>
          <w:szCs w:val="24"/>
        </w:rPr>
        <w:t>.</w:t>
      </w:r>
    </w:p>
    <w:p>
      <w:pPr>
        <w:numPr>
          <w:ilvl w:val="0"/>
          <w:numId w:val="10"/>
        </w:numPr>
        <w:spacing w:after="0" w:line="240" w:lineRule="auto"/>
        <w:ind w:left="425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Usługa </w:t>
      </w:r>
      <w:r>
        <w:rPr>
          <w:sz w:val="24"/>
          <w:szCs w:val="24"/>
        </w:rPr>
        <w:t>zapewniona będzie w okresie od podpisania umowy do 30 czerwca 2027 r.</w:t>
      </w:r>
    </w:p>
    <w:p>
      <w:pPr>
        <w:numPr>
          <w:ilvl w:val="0"/>
          <w:numId w:val="10"/>
        </w:numPr>
        <w:spacing w:after="0" w:line="240" w:lineRule="auto"/>
        <w:ind w:left="425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Wykonawca zobowiązuje się w trakcie wykonywania niniejszej umowy uwzględniać sugestie </w:t>
      </w:r>
      <w:r>
        <w:rPr>
          <w:color w:val="000000"/>
          <w:sz w:val="24"/>
          <w:szCs w:val="24"/>
        </w:rPr>
        <w:br/>
        <w:t>i życzenia Zamawiającego dotyczące sposobu jej wykonania. </w:t>
      </w:r>
    </w:p>
    <w:p>
      <w:pPr>
        <w:numPr>
          <w:ilvl w:val="0"/>
          <w:numId w:val="10"/>
        </w:numPr>
        <w:spacing w:after="0" w:line="240" w:lineRule="auto"/>
        <w:ind w:left="425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Wykonawca oświadcza, że posiada odpowiednie zasoby konieczne do realizacji przedmiotowej umowy.  </w:t>
      </w:r>
    </w:p>
    <w:p>
      <w:pPr>
        <w:numPr>
          <w:ilvl w:val="0"/>
          <w:numId w:val="10"/>
        </w:numPr>
        <w:spacing w:after="0" w:line="240" w:lineRule="auto"/>
        <w:ind w:left="425"/>
        <w:jc w:val="both"/>
        <w:rPr>
          <w:sz w:val="28"/>
          <w:szCs w:val="28"/>
        </w:rPr>
      </w:pPr>
      <w:r>
        <w:rPr>
          <w:sz w:val="24"/>
          <w:szCs w:val="24"/>
        </w:rPr>
        <w:t xml:space="preserve">Wykonawca zobowiązuje się do realizacji przedmiotu zamówienia przez osoby wskazane w ofercie i przyjmuje do wiadomości, że Zamawiający nie dopuszcza zmiany osób realizujących zamówienie z wyjątkiem sytuacji losowych uniemożliwiających realizację usługi przez daną osobę. W takim </w:t>
      </w:r>
      <w:r>
        <w:rPr>
          <w:sz w:val="24"/>
          <w:szCs w:val="24"/>
        </w:rPr>
        <w:lastRenderedPageBreak/>
        <w:t>przypadku Wykonawca zobowiązany jest przedłożyć na piśmie uzasadnienie zmiany osoby oraz wskazać nową osobę, która będzie realizowała zamówienie i która posiada wymagane w zapytaniu ofertowym wykształcenie, przygotowanie trenerskie i doświadczenie z zastrzeżeniem, że nie może być ono mniejsze niż u osoby, która podlegała ocenie. Nowa osoba wskazana przez Wykonawcę podlega akceptacji przez Zamawiającego. Osoba, która nie uzyskała akceptacji zamawiającego nie może uczestniczyć w realizacji usługi.</w:t>
      </w:r>
    </w:p>
    <w:p>
      <w:pPr>
        <w:numPr>
          <w:ilvl w:val="0"/>
          <w:numId w:val="10"/>
        </w:numPr>
        <w:spacing w:after="0" w:line="240" w:lineRule="auto"/>
        <w:ind w:left="425"/>
        <w:jc w:val="both"/>
        <w:rPr>
          <w:sz w:val="24"/>
          <w:szCs w:val="24"/>
        </w:rPr>
      </w:pPr>
      <w:r>
        <w:rPr>
          <w:sz w:val="24"/>
          <w:szCs w:val="24"/>
        </w:rPr>
        <w:t>Wykonawca gwarantuje, iż równoległe inne realizowane przez niego usługi, nie będą zakłócały realizacji przedmiotu niniejszej umowy.</w:t>
      </w:r>
    </w:p>
    <w:p>
      <w:pPr>
        <w:spacing w:after="0" w:line="240" w:lineRule="auto"/>
        <w:ind w:left="720"/>
        <w:jc w:val="both"/>
        <w:rPr>
          <w:sz w:val="24"/>
          <w:szCs w:val="24"/>
        </w:rPr>
      </w:pPr>
    </w:p>
    <w:p>
      <w:pPr>
        <w:spacing w:after="0" w:line="240" w:lineRule="auto"/>
        <w:ind w:left="720"/>
        <w:jc w:val="both"/>
        <w:rPr>
          <w:sz w:val="24"/>
          <w:szCs w:val="24"/>
        </w:rPr>
      </w:pPr>
    </w:p>
    <w:p>
      <w:pPr>
        <w:spacing w:after="0" w:line="240" w:lineRule="auto"/>
        <w:jc w:val="center"/>
        <w:rPr>
          <w:sz w:val="24"/>
          <w:szCs w:val="24"/>
        </w:rPr>
      </w:pPr>
      <w:r>
        <w:rPr>
          <w:b/>
          <w:bCs/>
          <w:sz w:val="24"/>
          <w:szCs w:val="24"/>
        </w:rPr>
        <w:t>§ 3</w:t>
      </w:r>
    </w:p>
    <w:p>
      <w:pPr>
        <w:numPr>
          <w:ilvl w:val="0"/>
          <w:numId w:val="11"/>
        </w:numPr>
        <w:tabs>
          <w:tab w:val="left" w:pos="426"/>
        </w:tabs>
        <w:spacing w:after="0" w:line="240" w:lineRule="auto"/>
        <w:ind w:left="426" w:hanging="426"/>
        <w:jc w:val="both"/>
        <w:rPr>
          <w:sz w:val="24"/>
          <w:szCs w:val="24"/>
        </w:rPr>
      </w:pPr>
      <w:r>
        <w:rPr>
          <w:sz w:val="24"/>
          <w:szCs w:val="24"/>
        </w:rPr>
        <w:t>Strony ustalają, że wynagrodzenie Wykonawcy za realizację przedmiotu umowy wynosi</w:t>
      </w:r>
      <w:r>
        <w:rPr>
          <w:sz w:val="24"/>
          <w:szCs w:val="24"/>
          <w:vertAlign w:val="superscript"/>
        </w:rPr>
        <w:footnoteReference w:id="1"/>
      </w:r>
      <w:r>
        <w:rPr>
          <w:sz w:val="24"/>
          <w:szCs w:val="24"/>
        </w:rPr>
        <w:t>: .................. zł brutto (słownie: .................................................................),</w:t>
      </w:r>
    </w:p>
    <w:p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spacing w:after="0" w:line="240" w:lineRule="auto"/>
        <w:ind w:left="426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Wynagrodzenie określone w ust. 2 obejmuje wszelkie koszty, jakie poniesie Wykonawca z tytułu należytej i zgodnej z umową oraz obowiązującymi przepisami prawa, realizacji zamówienia.</w:t>
      </w:r>
    </w:p>
    <w:p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spacing w:after="0" w:line="240" w:lineRule="auto"/>
        <w:ind w:left="426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W przypadku, gdy Wykonawcą jest osoba fizyczna nieprowadząca działalności gospodarczej, Strony zawrą odrębną umowę cywilnoprawną (umowę zlecenia), a Zamawiający, jako płatnik, naliczy i odprowadzi należne składki na ubezpieczenia społeczne i/lub zdrowotne oraz zaliczkę na podatek dochodowy zgodnie z obowiązującymi przepisami, pomniejszając wypłacane wynagrodzenie wskazane w ust. 2 o te kwoty.</w:t>
      </w:r>
    </w:p>
    <w:p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spacing w:after="0" w:line="276" w:lineRule="auto"/>
        <w:ind w:left="426"/>
        <w:jc w:val="both"/>
        <w:rPr>
          <w:color w:val="000000"/>
          <w:sz w:val="28"/>
          <w:szCs w:val="28"/>
        </w:rPr>
      </w:pPr>
      <w:r>
        <w:rPr>
          <w:color w:val="000000"/>
          <w:sz w:val="24"/>
          <w:szCs w:val="24"/>
        </w:rPr>
        <w:t>Wynagrodzenie Wykonawcy jest współfinansowane ze środków Unii Europejskiej w ramach programu Fundusze Europejskie dla Warmii i Mazur (</w:t>
      </w:r>
      <w:proofErr w:type="spellStart"/>
      <w:r>
        <w:rPr>
          <w:color w:val="000000"/>
          <w:sz w:val="24"/>
          <w:szCs w:val="24"/>
        </w:rPr>
        <w:t>FEWiM</w:t>
      </w:r>
      <w:proofErr w:type="spellEnd"/>
      <w:r>
        <w:rPr>
          <w:color w:val="000000"/>
          <w:sz w:val="24"/>
          <w:szCs w:val="24"/>
        </w:rPr>
        <w:t>) na lata 2021-2027.</w:t>
      </w:r>
    </w:p>
    <w:p>
      <w:pPr>
        <w:spacing w:after="0" w:line="240" w:lineRule="auto"/>
        <w:jc w:val="both"/>
        <w:rPr>
          <w:color w:val="FF0000"/>
          <w:sz w:val="24"/>
          <w:szCs w:val="24"/>
        </w:rPr>
      </w:pPr>
    </w:p>
    <w:p>
      <w:pPr>
        <w:spacing w:after="0" w:line="240" w:lineRule="auto"/>
        <w:ind w:left="720"/>
        <w:jc w:val="both"/>
        <w:rPr>
          <w:sz w:val="24"/>
          <w:szCs w:val="24"/>
          <w:highlight w:val="white"/>
        </w:rPr>
      </w:pPr>
    </w:p>
    <w:p>
      <w:pPr>
        <w:spacing w:after="0" w:line="240" w:lineRule="auto"/>
        <w:jc w:val="center"/>
        <w:rPr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>§ 4</w:t>
      </w:r>
    </w:p>
    <w:p>
      <w:pPr>
        <w:numPr>
          <w:ilvl w:val="0"/>
          <w:numId w:val="12"/>
        </w:numPr>
        <w:spacing w:after="0" w:line="240" w:lineRule="auto"/>
        <w:ind w:left="425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Zapłata za wykonanie przedmiotu niniejszej umowy nastąpi na podstawie protokołu odbioru należytego wykonania usługi oraz prawidłowo wystawionej przez Wykonawcę faktury/rachunku po zrealizowaniu każdego dwudniowego szkolenia. </w:t>
      </w:r>
    </w:p>
    <w:p>
      <w:pPr>
        <w:numPr>
          <w:ilvl w:val="0"/>
          <w:numId w:val="12"/>
        </w:numPr>
        <w:spacing w:after="0" w:line="240" w:lineRule="auto"/>
        <w:ind w:left="425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Zapłata nastąpi przelewem na numer rachunku bankowego </w:t>
      </w:r>
      <w:r>
        <w:rPr>
          <w:sz w:val="24"/>
          <w:szCs w:val="24"/>
        </w:rPr>
        <w:t>Wykonawcy wskazany na fakturze/rachunku</w:t>
      </w:r>
      <w:r>
        <w:rPr>
          <w:color w:val="000000"/>
          <w:sz w:val="24"/>
          <w:szCs w:val="24"/>
        </w:rPr>
        <w:t xml:space="preserve"> w terminie 14 dni od dnia dostarczenia prawidłowo wystawionej faktury/rachunku. </w:t>
      </w:r>
    </w:p>
    <w:p>
      <w:pPr>
        <w:numPr>
          <w:ilvl w:val="0"/>
          <w:numId w:val="12"/>
        </w:numPr>
        <w:spacing w:after="0" w:line="240" w:lineRule="auto"/>
        <w:ind w:left="425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Za dzień zapłaty uważa się dzień złożenia polecenia przelewu przez Zamawiającego. </w:t>
      </w:r>
    </w:p>
    <w:p>
      <w:pPr>
        <w:numPr>
          <w:ilvl w:val="0"/>
          <w:numId w:val="12"/>
        </w:numPr>
        <w:spacing w:after="0" w:line="240" w:lineRule="auto"/>
        <w:ind w:left="425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W przypadku opóźnienia w płatności Wykonawcy przysługują odsetki ustawowe. </w:t>
      </w:r>
    </w:p>
    <w:p>
      <w:pPr>
        <w:spacing w:after="0" w:line="240" w:lineRule="auto"/>
        <w:jc w:val="center"/>
        <w:rPr>
          <w:b/>
          <w:bCs/>
          <w:color w:val="000000"/>
          <w:sz w:val="24"/>
          <w:szCs w:val="24"/>
        </w:rPr>
      </w:pPr>
    </w:p>
    <w:p>
      <w:pPr>
        <w:spacing w:after="0" w:line="240" w:lineRule="auto"/>
        <w:jc w:val="center"/>
        <w:rPr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>§ 5</w:t>
      </w:r>
    </w:p>
    <w:p>
      <w:pPr>
        <w:numPr>
          <w:ilvl w:val="0"/>
          <w:numId w:val="13"/>
        </w:numPr>
        <w:spacing w:after="0" w:line="240" w:lineRule="auto"/>
        <w:ind w:left="425"/>
        <w:jc w:val="both"/>
        <w:rPr>
          <w:sz w:val="24"/>
          <w:szCs w:val="24"/>
        </w:rPr>
      </w:pPr>
      <w:r>
        <w:rPr>
          <w:sz w:val="24"/>
          <w:szCs w:val="24"/>
        </w:rPr>
        <w:t>Ze strony Zamawiającego osobą upoważnioną do kontaktów z Wykonawcą w sprawach dotyczących realizacji przedmiotu umowy jest …………………………. Osoba wskazana w poprzednim zdaniu jest upoważniona do podejmowania bieżących decyzji co do sposobu wykonania umowy, etc. </w:t>
      </w:r>
    </w:p>
    <w:p>
      <w:pPr>
        <w:numPr>
          <w:ilvl w:val="0"/>
          <w:numId w:val="13"/>
        </w:numPr>
        <w:spacing w:after="0" w:line="240" w:lineRule="auto"/>
        <w:ind w:left="425"/>
        <w:jc w:val="both"/>
        <w:rPr>
          <w:sz w:val="24"/>
          <w:szCs w:val="24"/>
        </w:rPr>
      </w:pPr>
      <w:r>
        <w:rPr>
          <w:sz w:val="24"/>
          <w:szCs w:val="24"/>
        </w:rPr>
        <w:t>Ze strony Wykonawcy osobą upoważnioną do kontaktów z Zamawiającym w sprawach dotyczących realizacji przedmiotu umowy jest .…………………………</w:t>
      </w:r>
    </w:p>
    <w:p>
      <w:pPr>
        <w:spacing w:after="0" w:line="240" w:lineRule="auto"/>
        <w:jc w:val="center"/>
        <w:rPr>
          <w:b/>
          <w:bCs/>
          <w:color w:val="000000"/>
          <w:sz w:val="24"/>
          <w:szCs w:val="24"/>
        </w:rPr>
      </w:pPr>
    </w:p>
    <w:p>
      <w:pPr>
        <w:spacing w:after="0" w:line="240" w:lineRule="auto"/>
        <w:jc w:val="center"/>
        <w:rPr>
          <w:sz w:val="24"/>
          <w:szCs w:val="24"/>
        </w:rPr>
      </w:pPr>
      <w:r>
        <w:rPr>
          <w:b/>
          <w:bCs/>
          <w:sz w:val="24"/>
          <w:szCs w:val="24"/>
        </w:rPr>
        <w:t>§ 6</w:t>
      </w:r>
    </w:p>
    <w:p>
      <w:pPr>
        <w:numPr>
          <w:ilvl w:val="3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426" w:hanging="284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lastRenderedPageBreak/>
        <w:t xml:space="preserve">Zamawiający zastrzega sobie możliwość istotnej zmiany umowy na warunkach wskazanych </w:t>
      </w:r>
      <w:r>
        <w:rPr>
          <w:color w:val="000000"/>
          <w:sz w:val="24"/>
          <w:szCs w:val="24"/>
        </w:rPr>
        <w:br/>
        <w:t xml:space="preserve">w „Wytycznych dotyczących kwalifikowalności wydatków na lata 2021-2027”, w szczególności </w:t>
      </w:r>
      <w:r>
        <w:rPr>
          <w:color w:val="000000"/>
          <w:sz w:val="24"/>
          <w:szCs w:val="24"/>
        </w:rPr>
        <w:br/>
        <w:t>w przypadku, gdy zmiana nie prowadzi do zmiany charakteru umowy i zostały spełnione łącznie następujące warunki:</w:t>
      </w:r>
    </w:p>
    <w:p>
      <w:pPr>
        <w:numPr>
          <w:ilvl w:val="4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851" w:hanging="426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konieczność zmiany umowy spowodowana jest okolicznościami, których Zamawiający, działając z należytą starannością, nie mógł przewidzieć, </w:t>
      </w:r>
    </w:p>
    <w:p>
      <w:pPr>
        <w:numPr>
          <w:ilvl w:val="4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851" w:hanging="426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wartość zmian nie przekracza 50% wartości zamówienia określonej pierwotnie w umowie.</w:t>
      </w:r>
    </w:p>
    <w:p>
      <w:pPr>
        <w:numPr>
          <w:ilvl w:val="3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426" w:hanging="425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Zamawiający przewiduje możliwość zmiany postanowień zawartej umowy w stosunku do treści oferty, na podstawie której dokonano wyboru Wykonawcy, również w przypadku wystąpienia co najmniej jednej z poniższych okoliczności:</w:t>
      </w:r>
    </w:p>
    <w:p>
      <w:pPr>
        <w:numPr>
          <w:ilvl w:val="1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851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zmiana nie prowadzi do zmiany ogólnego charakteru umowy, a łączna wartość zmian jest mniejsza od 10% wartości zamówienia określonej pierwotnie w umowie i jednocześnie mniejsza niż 143 tys. euro;</w:t>
      </w:r>
    </w:p>
    <w:p>
      <w:pPr>
        <w:numPr>
          <w:ilvl w:val="1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851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wystąpienia siły wyższej – rozumianej jako wystąpienie zdarzenia nadzwyczajnego, zewnętrznego, niemożliwego do przewidzenia i zapobieżenia, którego nie dało się uniknąć nawet przy zachowaniu należytej staranności, a które uniemożliwia Wykonawcy wykonanie jego zobowiązania w całości lub części. W przypadku wystąpienia siły wyższej Wykonawca zobowiązany jest dołożyć wszelkich starań w celu ograniczenia do minimum opóźnienia </w:t>
      </w:r>
      <w:r>
        <w:rPr>
          <w:color w:val="000000"/>
          <w:sz w:val="24"/>
          <w:szCs w:val="24"/>
        </w:rPr>
        <w:br/>
        <w:t>w wykonywaniu swoich zobowiązań umownych, powstałego na skutek działania siły wyższej;</w:t>
      </w:r>
    </w:p>
    <w:p>
      <w:pPr>
        <w:numPr>
          <w:ilvl w:val="1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851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zmiany wartości umowy w przypadku zwiększenia bądź zmniejszenia stawek podatku od towarów i usług, dotyczących przedmiotu zamówienia w wyniku zmian ustawy z dnia 11 marca 2004 r. o podatku od towarów i usług, które wejdą w życie po dniu zawarcia umowy, a przed wykonaniem przedmiotu zamówienia;</w:t>
      </w:r>
    </w:p>
    <w:p>
      <w:pPr>
        <w:numPr>
          <w:ilvl w:val="1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851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zmiany obowiązujących przepisów prawa wspólnotowego lub polskiego lub wytycznych obejmujących zasady realizacji i rozliczania projektu – umowa może ulec zmianie w zakresie odpowiadającym zmianom we właściwych przepisach lub wytycznych;</w:t>
      </w:r>
    </w:p>
    <w:p>
      <w:pPr>
        <w:numPr>
          <w:ilvl w:val="1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851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wystąpienie oczywistych omyłek pisarskich i rachunkowych w treści umowy;</w:t>
      </w:r>
    </w:p>
    <w:p>
      <w:pPr>
        <w:numPr>
          <w:ilvl w:val="1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851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zmiany osób odpowiedzialnych za kontakty i nadzór nad realizacją przedmiotu umowy,</w:t>
      </w:r>
    </w:p>
    <w:p>
      <w:pPr>
        <w:numPr>
          <w:ilvl w:val="1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851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wydłużenie terminu wykonania zamówienia w stosunku do wskazanego w umowie, jeżeli jego dotrzymanie stanie się niemożliwe lub poważnie utrudnione z przyczyn niezależnych od Wykonawcy lub Zamawiającego, a zaistniałych po zawarciu umowy lub w przypadku wydłużenia terminu realizacji projektu.</w:t>
      </w:r>
    </w:p>
    <w:p>
      <w:pPr>
        <w:numPr>
          <w:ilvl w:val="3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426" w:hanging="426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Zmiany postanowień zawartej umowy wymagają dla swej ważności formy pisemnej w postaci aneksu, pod rygorem nieważności, podpisanego przez obie strony.</w:t>
      </w:r>
    </w:p>
    <w:p>
      <w:pPr>
        <w:spacing w:after="0" w:line="240" w:lineRule="auto"/>
        <w:jc w:val="both"/>
        <w:rPr>
          <w:b/>
          <w:bCs/>
          <w:sz w:val="24"/>
          <w:szCs w:val="24"/>
        </w:rPr>
      </w:pPr>
      <w:bookmarkStart w:id="3" w:name="_heading=h.l96gogx8b6m5" w:colFirst="0" w:colLast="0"/>
      <w:bookmarkEnd w:id="3"/>
    </w:p>
    <w:p>
      <w:pPr>
        <w:spacing w:after="0" w:line="240" w:lineRule="auto"/>
        <w:jc w:val="center"/>
        <w:rPr>
          <w:sz w:val="24"/>
          <w:szCs w:val="24"/>
        </w:rPr>
      </w:pPr>
      <w:r>
        <w:rPr>
          <w:b/>
          <w:bCs/>
          <w:sz w:val="24"/>
          <w:szCs w:val="24"/>
        </w:rPr>
        <w:t>§ 7</w:t>
      </w:r>
    </w:p>
    <w:p>
      <w:pPr>
        <w:numPr>
          <w:ilvl w:val="0"/>
          <w:numId w:val="14"/>
        </w:numPr>
        <w:spacing w:after="0" w:line="240" w:lineRule="auto"/>
        <w:ind w:left="426"/>
        <w:jc w:val="both"/>
        <w:rPr>
          <w:sz w:val="24"/>
          <w:szCs w:val="24"/>
        </w:rPr>
      </w:pPr>
      <w:r>
        <w:rPr>
          <w:sz w:val="24"/>
          <w:szCs w:val="24"/>
        </w:rPr>
        <w:t>Umowa może być wypowiedziana przez każdą ze Stron z zachowaniem 30-dniowego okresu wypowiedzenia, z zastrzeżeniem przypadków, o których mowa w ust.2.</w:t>
      </w:r>
    </w:p>
    <w:p>
      <w:pPr>
        <w:numPr>
          <w:ilvl w:val="0"/>
          <w:numId w:val="14"/>
        </w:numPr>
        <w:spacing w:after="0" w:line="240" w:lineRule="auto"/>
        <w:ind w:left="426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Strony dopuszczają możliwość wypowiedzenia niniejszej umowy ze skutkiem natychmiastowym jedynie z ważnych powodów, do których Strony zaliczyły: </w:t>
      </w:r>
    </w:p>
    <w:p>
      <w:pPr>
        <w:numPr>
          <w:ilvl w:val="1"/>
          <w:numId w:val="5"/>
        </w:numPr>
        <w:spacing w:after="0" w:line="240" w:lineRule="auto"/>
        <w:ind w:left="851" w:hanging="284"/>
        <w:jc w:val="both"/>
        <w:rPr>
          <w:sz w:val="24"/>
          <w:szCs w:val="24"/>
        </w:rPr>
      </w:pPr>
      <w:r>
        <w:rPr>
          <w:sz w:val="24"/>
          <w:szCs w:val="24"/>
        </w:rPr>
        <w:t>istotną zmianę przedmiotu umowy lub sposobu jego wykonania, które nie były przewidziane w niniejszej umowie lub zapytaniu ofertowym;</w:t>
      </w:r>
    </w:p>
    <w:p>
      <w:pPr>
        <w:numPr>
          <w:ilvl w:val="1"/>
          <w:numId w:val="5"/>
        </w:numPr>
        <w:spacing w:after="0" w:line="240" w:lineRule="auto"/>
        <w:ind w:left="851" w:hanging="284"/>
        <w:jc w:val="both"/>
        <w:rPr>
          <w:sz w:val="24"/>
          <w:szCs w:val="24"/>
        </w:rPr>
      </w:pPr>
      <w:r>
        <w:rPr>
          <w:sz w:val="24"/>
          <w:szCs w:val="24"/>
        </w:rPr>
        <w:lastRenderedPageBreak/>
        <w:t>zmniejszenie dotacji na realizację projektu lub zadania projektu, w ramach którego umowa jest realizowana;</w:t>
      </w:r>
    </w:p>
    <w:p>
      <w:pPr>
        <w:numPr>
          <w:ilvl w:val="1"/>
          <w:numId w:val="5"/>
        </w:numPr>
        <w:spacing w:after="0" w:line="240" w:lineRule="auto"/>
        <w:ind w:left="851" w:hanging="284"/>
        <w:jc w:val="both"/>
        <w:rPr>
          <w:sz w:val="24"/>
          <w:szCs w:val="24"/>
        </w:rPr>
      </w:pPr>
      <w:r>
        <w:rPr>
          <w:sz w:val="24"/>
          <w:szCs w:val="24"/>
        </w:rPr>
        <w:t>utratę możliwości wykonywania usług umownych przez Wykonawcę, wynikającą ze zdarzeń losowych.</w:t>
      </w:r>
    </w:p>
    <w:p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26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Wypowiedzenie wymaga formy pisemnej pod rygorem nieważności. Wypowiedzenie, o którym mowa w ust. 2, zawierać musi pod rygorem nieważności uzasadnienie.</w:t>
      </w:r>
    </w:p>
    <w:p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426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W przypadku wypowiedzenia umowy, Wykonawcy przysługuje wyłącznie wynagrodzenie odpowiadające jego dotychczasowym czynnościom. Wykonawcy nie przysługuje prawo do dochodzenia roszczeń na podstawie art. 746 § 1 Kodeksu cywilnego, innych niż wynagrodzenie, </w:t>
      </w:r>
      <w:r>
        <w:rPr>
          <w:color w:val="000000"/>
          <w:sz w:val="24"/>
          <w:szCs w:val="24"/>
        </w:rPr>
        <w:br/>
        <w:t>o którym mowa w zdaniu poprzedzającym.</w:t>
      </w:r>
    </w:p>
    <w:p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426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Zamawiający jest upoważniony do pisemnego rozwiązania umowy bez wypowiedzenia </w:t>
      </w:r>
      <w:r>
        <w:rPr>
          <w:color w:val="000000"/>
          <w:sz w:val="24"/>
          <w:szCs w:val="24"/>
        </w:rPr>
        <w:br/>
        <w:t>(z zachowaniem uprawnienia Zamawiającego i Wykonawcy do dochodzenia odszkodowań i kar umownych) w przypadku:</w:t>
      </w:r>
    </w:p>
    <w:p>
      <w:pPr>
        <w:numPr>
          <w:ilvl w:val="1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after="0" w:line="276" w:lineRule="auto"/>
        <w:ind w:left="993" w:hanging="283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niewykonywania lub nienależytego wykonania obowiązków umownych przez Wykonawcę;</w:t>
      </w:r>
    </w:p>
    <w:p>
      <w:pPr>
        <w:numPr>
          <w:ilvl w:val="1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after="0" w:line="276" w:lineRule="auto"/>
        <w:ind w:left="993" w:hanging="283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realizowania usług przez inne osoby, niż wskazane w ofercie bez uzyskania uprzedniej zgody Zamawiającego;</w:t>
      </w:r>
    </w:p>
    <w:p>
      <w:pPr>
        <w:numPr>
          <w:ilvl w:val="1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after="0" w:line="276" w:lineRule="auto"/>
        <w:ind w:left="993" w:hanging="283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rozwiązania umowy o dofinansowanie, na podstawie której jest finansowana niniejsza umowa;</w:t>
      </w:r>
    </w:p>
    <w:p>
      <w:pPr>
        <w:numPr>
          <w:ilvl w:val="1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after="0" w:line="276" w:lineRule="auto"/>
        <w:ind w:left="993" w:hanging="283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nieprzekazania przez Instytucję Zarządzającą środków na realizację niniejszej umowy.</w:t>
      </w:r>
    </w:p>
    <w:p>
      <w:pPr>
        <w:spacing w:after="0" w:line="240" w:lineRule="auto"/>
        <w:jc w:val="both"/>
        <w:rPr>
          <w:sz w:val="24"/>
          <w:szCs w:val="24"/>
        </w:rPr>
      </w:pPr>
    </w:p>
    <w:p>
      <w:pPr>
        <w:spacing w:after="0" w:line="240" w:lineRule="auto"/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§ 8</w:t>
      </w:r>
    </w:p>
    <w:p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567" w:hanging="349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Wykonawca zapłaci Zamawiającemu kary umowne, które będą naliczane w następujących okolicznościach i wysokościach:</w:t>
      </w:r>
    </w:p>
    <w:p>
      <w:pPr>
        <w:numPr>
          <w:ilvl w:val="1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993" w:hanging="338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w przypadku stwierdzenia nieprawidłowości w realizacji przedmiotu umowy, Wykonawca zapłaci na rzecz Zamawiającego karę umowną w wysokości 5% wartości umowy za każdą stwierdzoną i odnotowaną w protokole odbioru nieprawidłowość;</w:t>
      </w:r>
    </w:p>
    <w:p>
      <w:pPr>
        <w:numPr>
          <w:ilvl w:val="1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993" w:hanging="338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w przypadku rozwiązania przez Zamawiającego umowy z przyczyn leżących po stronie Wykonawcy, Wykonawca zapłaci na rzecz Zamawiającego karę umowną w wysokości 20 % wartości umowy;</w:t>
      </w:r>
    </w:p>
    <w:p>
      <w:pPr>
        <w:numPr>
          <w:ilvl w:val="1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993" w:hanging="338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w przypadku niewykonywania zamówienia w terminach ustalonych z Zamawiającym lub określonych w umowie, Wykonawca zapłaci na rzecz Zamawiającego karę umowną </w:t>
      </w:r>
      <w:r>
        <w:rPr>
          <w:color w:val="000000"/>
          <w:sz w:val="24"/>
          <w:szCs w:val="24"/>
        </w:rPr>
        <w:br/>
        <w:t>w wysokości 5 % wartości umowy;</w:t>
      </w:r>
    </w:p>
    <w:p>
      <w:pPr>
        <w:numPr>
          <w:ilvl w:val="1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993" w:hanging="338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w przypadku niewywiązania się Wykonawcy z podjętych zobowiązań dotyczących zastosowania aspektów społecznych podczas realizacji zamówienia, Zamawiający ma prawo do rozwiązania umowy ze skutkiem natychmiastowym z przyczyn leżących po stronie Wykonawcy;</w:t>
      </w:r>
    </w:p>
    <w:p>
      <w:pPr>
        <w:numPr>
          <w:ilvl w:val="1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993" w:hanging="338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w przypadku rozwiązania umowy przez Wykonawcę z przyczyn nie dotyczących Zamawiającego, Wykonawca zapewni Zamawiającemu wykonanie zlecenia o nie mniejszym standardzie, po kosztach zawartych w niniejszej umowie oraz pokryje ewentualne dodatkowe koszty Zamawiającego związane ze zmianą Wykonawcy. W sytuacji określonej w poprzednim zdaniu, Zamawiającemu przysługuje również zapłata kary umownej w wysokości 20 % wartości umowy.</w:t>
      </w:r>
    </w:p>
    <w:p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09" w:hanging="349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lastRenderedPageBreak/>
        <w:t>W przypadku, gdy szkoda przeniesie wysokość zastrzeżonych kar umownych Zamawiający jest upoważniony do dochodzenia odszkodowania do rzeczywiście poniesionej szkody.</w:t>
      </w:r>
    </w:p>
    <w:p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09" w:hanging="349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Zamawiający jest upoważniony do potrącenia kar umownych z wypłaty wynagrodzenia należnego Wykonawcy.</w:t>
      </w:r>
    </w:p>
    <w:p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09"/>
        <w:jc w:val="both"/>
        <w:rPr>
          <w:color w:val="000000"/>
          <w:sz w:val="24"/>
          <w:szCs w:val="24"/>
        </w:rPr>
      </w:pPr>
    </w:p>
    <w:p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b/>
          <w:bCs/>
          <w:sz w:val="24"/>
          <w:szCs w:val="24"/>
        </w:rPr>
        <w:t>§ 9</w:t>
      </w:r>
    </w:p>
    <w:p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09" w:right="-7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W przypadku deklaracji zatrudnienia/oddelegowania do realizacji zamówienia osoby zagrożonej wykluczeniem społecznym Wykonawca zobowiązany do utrzymania zatrudnienia tej osoby przez cały okres realizacji umowy. </w:t>
      </w:r>
    </w:p>
    <w:p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09" w:right="-7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W przypadku rozwiązania lub wygaśnięcia zatrudnienia przed zakończeniem okresu realizacji zamówienia, Wykonawca jest zobowiązany do niezwłocznego zatrudnienia innej osoby z jednej ze wskazanych przez Zamawiającego grupy zagrożonej wykluczeniem społecznym, na dowód czego przedłoży Zamawiającemu stosowne dokumenty potwierdzające fakt zatrudnienia i status osoby nowozatrudnionej.</w:t>
      </w:r>
    </w:p>
    <w:p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09" w:right="-7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W ramach czynności kontrolnych prowadzonych w trakcie realizacji zamówienia Zamawiający jest uprawniony w szczególności do:</w:t>
      </w:r>
    </w:p>
    <w:p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1134" w:right="-73" w:hanging="42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żądania oświadczeń i dokumentów w zakresie potwierdzenia spełniania ww. wymogów </w:t>
      </w:r>
      <w:r>
        <w:rPr>
          <w:color w:val="000000"/>
          <w:sz w:val="24"/>
          <w:szCs w:val="24"/>
        </w:rPr>
        <w:br/>
        <w:t>i dokonywania ich oceny,</w:t>
      </w:r>
    </w:p>
    <w:p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1134" w:right="-73" w:hanging="42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żądania wyjaśnień w przypadku wątpliwości w zakresie potwierdzenia spełniania ww. wymogów,</w:t>
      </w:r>
    </w:p>
    <w:p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1134" w:right="-73" w:hanging="42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przeprowadzania kontroli na miejscu wykonywania usługi.</w:t>
      </w:r>
    </w:p>
    <w:p>
      <w:pPr>
        <w:spacing w:after="0" w:line="240" w:lineRule="auto"/>
        <w:ind w:left="851"/>
        <w:rPr>
          <w:b/>
          <w:bCs/>
          <w:sz w:val="24"/>
          <w:szCs w:val="24"/>
        </w:rPr>
      </w:pPr>
    </w:p>
    <w:p>
      <w:pPr>
        <w:spacing w:after="0" w:line="240" w:lineRule="auto"/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§ 10</w:t>
      </w:r>
    </w:p>
    <w:p>
      <w:pPr>
        <w:numPr>
          <w:ilvl w:val="3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709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Wykonawca oświadcza, że został poinformowany o kwestiach wynikających z art. 13 RODO.</w:t>
      </w:r>
    </w:p>
    <w:p>
      <w:pPr>
        <w:numPr>
          <w:ilvl w:val="2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709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Wykonawca zobowiązuje się do przetwarzania danych osobowych uczestników szkoleń wyłącznie w celu i zakresie niezbędnym do realizacji niniejszej umowy oraz zgodnie </w:t>
      </w:r>
      <w:r>
        <w:rPr>
          <w:color w:val="000000"/>
          <w:sz w:val="24"/>
          <w:szCs w:val="24"/>
        </w:rPr>
        <w:br/>
        <w:t xml:space="preserve">z obowiązującymi przepisami, w szczególności z Rozporządzeniem Parlamentu Europejskiego </w:t>
      </w:r>
      <w:r>
        <w:rPr>
          <w:color w:val="000000"/>
          <w:sz w:val="24"/>
          <w:szCs w:val="24"/>
        </w:rPr>
        <w:br/>
        <w:t>i Rady (UE) 2016/679 (RODO).</w:t>
      </w:r>
    </w:p>
    <w:p>
      <w:pPr>
        <w:numPr>
          <w:ilvl w:val="2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709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Wykonawca zobowiązuje się do zachowania w tajemnicy wszelkich danych osobowych oraz informacji poufnych, do których uzyskał dostęp w związku z realizacją umowy.</w:t>
      </w:r>
    </w:p>
    <w:p>
      <w:pPr>
        <w:numPr>
          <w:ilvl w:val="2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709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Wykonawca odpowiada za szkodę, wyrządzoną Zamawiającemu lub uczestnikowi/-</w:t>
      </w:r>
      <w:proofErr w:type="spellStart"/>
      <w:r>
        <w:rPr>
          <w:color w:val="000000"/>
          <w:sz w:val="24"/>
          <w:szCs w:val="24"/>
        </w:rPr>
        <w:t>czce</w:t>
      </w:r>
      <w:proofErr w:type="spellEnd"/>
      <w:r>
        <w:rPr>
          <w:color w:val="000000"/>
          <w:sz w:val="24"/>
          <w:szCs w:val="24"/>
        </w:rPr>
        <w:t xml:space="preserve"> szkoleń przez ujawnienie, przekazanie, wykorzystanie, zbycie lub oferowanie do zbycia informacji otrzymanych od odpowiednio Zamawiającego lub uczestnika/-</w:t>
      </w:r>
      <w:proofErr w:type="spellStart"/>
      <w:r>
        <w:rPr>
          <w:color w:val="000000"/>
          <w:sz w:val="24"/>
          <w:szCs w:val="24"/>
        </w:rPr>
        <w:t>czkę</w:t>
      </w:r>
      <w:proofErr w:type="spellEnd"/>
      <w:r>
        <w:rPr>
          <w:color w:val="000000"/>
          <w:sz w:val="24"/>
          <w:szCs w:val="24"/>
        </w:rPr>
        <w:t xml:space="preserve"> wbrew postanowieniom niniejszej umowy. Zobowiązanie to wiąże Wykonawcę również po wykonaniu umowy lub jej rozwiązaniu, bez względu na przyczynę.</w:t>
      </w:r>
    </w:p>
    <w:p>
      <w:pPr>
        <w:spacing w:after="0" w:line="276" w:lineRule="auto"/>
        <w:jc w:val="both"/>
        <w:rPr>
          <w:sz w:val="24"/>
          <w:szCs w:val="24"/>
        </w:rPr>
      </w:pPr>
    </w:p>
    <w:p>
      <w:pPr>
        <w:spacing w:after="0" w:line="240" w:lineRule="auto"/>
      </w:pPr>
    </w:p>
    <w:p>
      <w:pPr>
        <w:spacing w:after="0" w:line="240" w:lineRule="auto"/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§ 11</w:t>
      </w:r>
    </w:p>
    <w:p>
      <w:pPr>
        <w:numPr>
          <w:ilvl w:val="1"/>
          <w:numId w:val="15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26"/>
        <w:jc w:val="both"/>
        <w:rPr>
          <w:sz w:val="24"/>
          <w:szCs w:val="24"/>
        </w:rPr>
      </w:pPr>
      <w:r>
        <w:rPr>
          <w:sz w:val="24"/>
          <w:szCs w:val="24"/>
        </w:rPr>
        <w:t>Wszelkie ewentualne spory między stronami, wynikające z niniejszej umowy, powinny być rozwiązane bez zbędnej zwłoki, drogą negocjacji między Stronami. </w:t>
      </w:r>
    </w:p>
    <w:p>
      <w:pPr>
        <w:numPr>
          <w:ilvl w:val="1"/>
          <w:numId w:val="15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26"/>
        <w:jc w:val="both"/>
        <w:rPr>
          <w:sz w:val="24"/>
          <w:szCs w:val="24"/>
        </w:rPr>
      </w:pPr>
      <w:r>
        <w:rPr>
          <w:sz w:val="24"/>
          <w:szCs w:val="24"/>
        </w:rPr>
        <w:t>W przypadku niepowodzenia negocjacji, spory będzie rozstrzygał sąd właściwy miejscowo dla siedziby Zamawiającego. </w:t>
      </w:r>
    </w:p>
    <w:p>
      <w:pPr>
        <w:spacing w:after="0" w:line="240" w:lineRule="auto"/>
        <w:jc w:val="center"/>
        <w:rPr>
          <w:b/>
          <w:bCs/>
          <w:sz w:val="24"/>
          <w:szCs w:val="24"/>
        </w:rPr>
      </w:pPr>
    </w:p>
    <w:p>
      <w:pPr>
        <w:spacing w:after="0" w:line="240" w:lineRule="auto"/>
        <w:jc w:val="center"/>
        <w:rPr>
          <w:sz w:val="24"/>
          <w:szCs w:val="24"/>
        </w:rPr>
      </w:pPr>
      <w:r>
        <w:rPr>
          <w:b/>
          <w:bCs/>
          <w:sz w:val="24"/>
          <w:szCs w:val="24"/>
        </w:rPr>
        <w:t>§ 12</w:t>
      </w:r>
    </w:p>
    <w:p>
      <w:pPr>
        <w:numPr>
          <w:ilvl w:val="0"/>
          <w:numId w:val="8"/>
        </w:numPr>
        <w:spacing w:after="0" w:line="240" w:lineRule="auto"/>
        <w:ind w:left="425"/>
        <w:jc w:val="both"/>
        <w:rPr>
          <w:sz w:val="24"/>
          <w:szCs w:val="24"/>
        </w:rPr>
      </w:pPr>
      <w:r>
        <w:rPr>
          <w:sz w:val="24"/>
          <w:szCs w:val="24"/>
        </w:rPr>
        <w:t>Umowa wchodzi w życie z dniem podpisania jej przez upoważnionych przedstawicieli stron.</w:t>
      </w:r>
    </w:p>
    <w:p>
      <w:pPr>
        <w:numPr>
          <w:ilvl w:val="0"/>
          <w:numId w:val="8"/>
        </w:numPr>
        <w:spacing w:after="0" w:line="240" w:lineRule="auto"/>
        <w:ind w:left="425"/>
        <w:jc w:val="both"/>
        <w:rPr>
          <w:sz w:val="24"/>
          <w:szCs w:val="24"/>
        </w:rPr>
      </w:pPr>
      <w:r>
        <w:rPr>
          <w:sz w:val="24"/>
          <w:szCs w:val="24"/>
        </w:rPr>
        <w:lastRenderedPageBreak/>
        <w:t>Umowę sporządzono w dwóch jednobrzmiących egzemplarzach po jednym dla każdej ze stron. </w:t>
      </w:r>
    </w:p>
    <w:p>
      <w:pPr>
        <w:numPr>
          <w:ilvl w:val="0"/>
          <w:numId w:val="8"/>
        </w:numPr>
        <w:spacing w:after="0" w:line="240" w:lineRule="auto"/>
        <w:ind w:left="425"/>
        <w:jc w:val="both"/>
        <w:rPr>
          <w:sz w:val="24"/>
          <w:szCs w:val="24"/>
        </w:rPr>
      </w:pPr>
      <w:r>
        <w:rPr>
          <w:sz w:val="24"/>
          <w:szCs w:val="24"/>
        </w:rPr>
        <w:t>W sprawach nieuregulowanych niniejszą umową zastosowanie mają odpowiednio przepisy Kodeksu Cywilnego.</w:t>
      </w:r>
    </w:p>
    <w:p>
      <w:pPr>
        <w:spacing w:after="0" w:line="240" w:lineRule="auto"/>
        <w:ind w:left="425"/>
        <w:jc w:val="both"/>
        <w:rPr>
          <w:sz w:val="24"/>
          <w:szCs w:val="24"/>
        </w:rPr>
      </w:pPr>
    </w:p>
    <w:p>
      <w:pPr>
        <w:spacing w:after="0" w:line="240" w:lineRule="auto"/>
        <w:jc w:val="both"/>
        <w:rPr>
          <w:sz w:val="24"/>
          <w:szCs w:val="24"/>
        </w:rPr>
      </w:pPr>
    </w:p>
    <w:p>
      <w:pPr>
        <w:spacing w:after="0" w:line="240" w:lineRule="auto"/>
        <w:rPr>
          <w:sz w:val="24"/>
          <w:szCs w:val="24"/>
        </w:rPr>
      </w:pPr>
    </w:p>
    <w:p>
      <w:pPr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> </w:t>
      </w:r>
    </w:p>
    <w:p>
      <w:pPr>
        <w:spacing w:after="0" w:line="240" w:lineRule="auto"/>
        <w:rPr>
          <w:sz w:val="24"/>
          <w:szCs w:val="24"/>
        </w:rPr>
      </w:pPr>
    </w:p>
    <w:p>
      <w:pPr>
        <w:spacing w:after="0" w:line="240" w:lineRule="auto"/>
        <w:ind w:left="993"/>
        <w:rPr>
          <w:sz w:val="24"/>
          <w:szCs w:val="24"/>
        </w:rPr>
      </w:pPr>
      <w:r>
        <w:rPr>
          <w:sz w:val="24"/>
          <w:szCs w:val="24"/>
        </w:rPr>
        <w:t xml:space="preserve">Zamawiający: 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>Wykonawca:</w:t>
      </w:r>
    </w:p>
    <w:p>
      <w:pPr>
        <w:spacing w:after="0" w:line="240" w:lineRule="auto"/>
        <w:ind w:left="993"/>
        <w:rPr>
          <w:sz w:val="24"/>
          <w:szCs w:val="24"/>
        </w:rPr>
      </w:pPr>
    </w:p>
    <w:p>
      <w:pPr>
        <w:spacing w:after="0" w:line="240" w:lineRule="auto"/>
        <w:rPr>
          <w:sz w:val="24"/>
          <w:szCs w:val="24"/>
        </w:rPr>
      </w:pPr>
    </w:p>
    <w:p>
      <w:pPr>
        <w:spacing w:after="0" w:line="240" w:lineRule="auto"/>
        <w:rPr>
          <w:sz w:val="24"/>
          <w:szCs w:val="24"/>
        </w:rPr>
      </w:pPr>
    </w:p>
    <w:p>
      <w:pPr>
        <w:spacing w:after="0" w:line="240" w:lineRule="auto"/>
        <w:ind w:left="426"/>
        <w:rPr>
          <w:sz w:val="24"/>
          <w:szCs w:val="24"/>
        </w:rPr>
      </w:pPr>
      <w:r>
        <w:rPr>
          <w:sz w:val="24"/>
          <w:szCs w:val="24"/>
        </w:rPr>
        <w:t> …………….….……………………..…                                                           ……………..………………………………</w:t>
      </w:r>
    </w:p>
    <w:p>
      <w:pPr>
        <w:spacing w:after="0" w:line="240" w:lineRule="auto"/>
        <w:jc w:val="center"/>
        <w:rPr>
          <w:sz w:val="24"/>
          <w:szCs w:val="24"/>
        </w:rPr>
      </w:pPr>
    </w:p>
    <w:sectPr>
      <w:headerReference w:type="default" r:id="rId8"/>
      <w:footerReference w:type="even" r:id="rId9"/>
      <w:footerReference w:type="default" r:id="rId10"/>
      <w:pgSz w:w="11906" w:h="16838"/>
      <w:pgMar w:top="1702" w:right="964" w:bottom="907" w:left="964" w:header="709" w:footer="709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>
      <w:pPr>
        <w:spacing w:after="0" w:line="240" w:lineRule="auto"/>
      </w:pPr>
      <w:r>
        <w:separator/>
      </w:r>
    </w:p>
  </w:endnote>
  <w:endnote w:type="continuationSeparator" w:id="0">
    <w:p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Noto Sans Symbols">
    <w:charset w:val="00"/>
    <w:family w:val="auto"/>
    <w:pitch w:val="default"/>
    <w:embedRegular r:id="rId1" w:fontKey="{629B8926-F635-4AAA-A354-8E977AD2EB46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36C305AA-34A2-4C87-90B4-E965E6E1E901}"/>
    <w:embedBold r:id="rId3" w:fontKey="{DB01AEFF-17BC-4AE2-BA50-D6BB348710B1}"/>
    <w:embedItalic r:id="rId4" w:fontKey="{2017DCEF-0F8B-43AC-A263-97032786983E}"/>
  </w:font>
  <w:font w:name="Georgia">
    <w:panose1 w:val="02040502050405020303"/>
    <w:charset w:val="00"/>
    <w:family w:val="auto"/>
    <w:pitch w:val="default"/>
    <w:embedItalic r:id="rId5" w:fontKey="{B39D7FF6-F2B4-4975-9380-F6273B237328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6" w:fontKey="{DEEB5C35-6CAE-435C-BE3C-2196D1504267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right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end"/>
    </w:r>
  </w:p>
  <w:p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ind w:right="360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right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>
      <w:rPr>
        <w:noProof/>
        <w:color w:val="000000"/>
      </w:rPr>
      <w:t>1</w:t>
    </w:r>
    <w:r>
      <w:rPr>
        <w:color w:val="000000"/>
      </w:rPr>
      <w:fldChar w:fldCharType="end"/>
    </w:r>
  </w:p>
  <w:p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ind w:right="360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>
      <w:pPr>
        <w:spacing w:after="0" w:line="240" w:lineRule="auto"/>
      </w:pPr>
      <w:r>
        <w:separator/>
      </w:r>
    </w:p>
  </w:footnote>
  <w:footnote w:type="continuationSeparator" w:id="0">
    <w:p>
      <w:pPr>
        <w:spacing w:after="0" w:line="240" w:lineRule="auto"/>
      </w:pPr>
      <w:r>
        <w:continuationSeparator/>
      </w:r>
    </w:p>
  </w:footnote>
  <w:footnote w:id="1">
    <w:p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0"/>
          <w:szCs w:val="20"/>
        </w:rPr>
      </w:pPr>
      <w:r>
        <w:rPr>
          <w:vertAlign w:val="superscript"/>
        </w:rPr>
        <w:footnoteRef/>
      </w:r>
      <w:r>
        <w:rPr>
          <w:color w:val="000000"/>
          <w:sz w:val="20"/>
          <w:szCs w:val="20"/>
        </w:rPr>
        <w:t xml:space="preserve"> Części zamówienia, których nie dotyczy niniejsza umowa, zostaną wykreślone.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noProof/>
      </w:rPr>
      <w:drawing>
        <wp:anchor distT="0" distB="0" distL="0" distR="0" simplePos="0" relativeHeight="251658240" behindDoc="1" locked="0" layoutInCell="1" hidden="0" allowOverlap="1">
          <wp:simplePos x="0" y="0"/>
          <wp:positionH relativeFrom="column">
            <wp:posOffset>506428</wp:posOffset>
          </wp:positionH>
          <wp:positionV relativeFrom="paragraph">
            <wp:posOffset>-118105</wp:posOffset>
          </wp:positionV>
          <wp:extent cx="5760000" cy="622800"/>
          <wp:effectExtent l="0" t="0" r="0" b="0"/>
          <wp:wrapNone/>
          <wp:docPr id="8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60000" cy="6228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CF6F43"/>
    <w:multiLevelType w:val="multilevel"/>
    <w:tmpl w:val="461E7E3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" w15:restartNumberingAfterBreak="0">
    <w:nsid w:val="10430E38"/>
    <w:multiLevelType w:val="multilevel"/>
    <w:tmpl w:val="64B27A9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)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2D36DFA"/>
    <w:multiLevelType w:val="multilevel"/>
    <w:tmpl w:val="B4E6719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3" w15:restartNumberingAfterBreak="0">
    <w:nsid w:val="147576D3"/>
    <w:multiLevelType w:val="multilevel"/>
    <w:tmpl w:val="89BEB0B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9DC43F9"/>
    <w:multiLevelType w:val="multilevel"/>
    <w:tmpl w:val="DB22630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5" w15:restartNumberingAfterBreak="0">
    <w:nsid w:val="1CF346DA"/>
    <w:multiLevelType w:val="multilevel"/>
    <w:tmpl w:val="DEE47754"/>
    <w:lvl w:ilvl="0">
      <w:start w:val="1"/>
      <w:numFmt w:val="decimal"/>
      <w:lvlText w:val="%1."/>
      <w:lvlJc w:val="left"/>
      <w:pPr>
        <w:ind w:left="720" w:hanging="360"/>
      </w:pPr>
      <w:rPr>
        <w:color w:val="000000"/>
        <w:sz w:val="24"/>
        <w:szCs w:val="24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2234373"/>
    <w:multiLevelType w:val="multilevel"/>
    <w:tmpl w:val="9F4C93F2"/>
    <w:lvl w:ilvl="0">
      <w:start w:val="1"/>
      <w:numFmt w:val="decimal"/>
      <w:lvlText w:val="%1."/>
      <w:lvlJc w:val="left"/>
      <w:pPr>
        <w:ind w:left="720" w:hanging="360"/>
      </w:pPr>
      <w:rPr>
        <w:color w:val="000000"/>
      </w:rPr>
    </w:lvl>
    <w:lvl w:ilvl="1">
      <w:start w:val="1"/>
      <w:numFmt w:val="lowerLetter"/>
      <w:lvlText w:val="%2)"/>
      <w:lvlJc w:val="left"/>
      <w:pPr>
        <w:ind w:left="1440" w:hanging="360"/>
      </w:pPr>
    </w:lvl>
    <w:lvl w:ilvl="2">
      <w:start w:val="1"/>
      <w:numFmt w:val="lowerLetter"/>
      <w:lvlText w:val="%3)"/>
      <w:lvlJc w:val="left"/>
      <w:pPr>
        <w:ind w:left="89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3774AB7"/>
    <w:multiLevelType w:val="multilevel"/>
    <w:tmpl w:val="41EC866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)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8" w15:restartNumberingAfterBreak="0">
    <w:nsid w:val="26CE57C6"/>
    <w:multiLevelType w:val="multilevel"/>
    <w:tmpl w:val="0E8435A2"/>
    <w:lvl w:ilvl="0">
      <w:start w:val="1"/>
      <w:numFmt w:val="decimal"/>
      <w:lvlText w:val="%1."/>
      <w:lvlJc w:val="left"/>
      <w:pPr>
        <w:ind w:left="720" w:hanging="360"/>
      </w:pPr>
      <w:rPr>
        <w:sz w:val="24"/>
        <w:szCs w:val="24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9" w15:restartNumberingAfterBreak="0">
    <w:nsid w:val="2A2E54A3"/>
    <w:multiLevelType w:val="multilevel"/>
    <w:tmpl w:val="7D269AEE"/>
    <w:lvl w:ilvl="0">
      <w:start w:val="1"/>
      <w:numFmt w:val="decimal"/>
      <w:lvlText w:val="%1."/>
      <w:lvlJc w:val="left"/>
      <w:pPr>
        <w:ind w:left="720" w:hanging="360"/>
      </w:pPr>
      <w:rPr>
        <w:sz w:val="24"/>
        <w:szCs w:val="24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0" w15:restartNumberingAfterBreak="0">
    <w:nsid w:val="30DD53AD"/>
    <w:multiLevelType w:val="multilevel"/>
    <w:tmpl w:val="9F66815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1" w15:restartNumberingAfterBreak="0">
    <w:nsid w:val="4D79579A"/>
    <w:multiLevelType w:val="multilevel"/>
    <w:tmpl w:val="FCD4D92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)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2" w15:restartNumberingAfterBreak="0">
    <w:nsid w:val="60F85B6D"/>
    <w:multiLevelType w:val="multilevel"/>
    <w:tmpl w:val="5AA61EDC"/>
    <w:lvl w:ilvl="0">
      <w:start w:val="1"/>
      <w:numFmt w:val="decimal"/>
      <w:lvlText w:val="%1."/>
      <w:lvlJc w:val="left"/>
      <w:pPr>
        <w:ind w:left="1065" w:hanging="705"/>
      </w:pPr>
    </w:lvl>
    <w:lvl w:ilvl="1">
      <w:start w:val="1"/>
      <w:numFmt w:val="lowerLetter"/>
      <w:lvlText w:val="%2)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34A375E"/>
    <w:multiLevelType w:val="multilevel"/>
    <w:tmpl w:val="8646D472"/>
    <w:lvl w:ilvl="0">
      <w:start w:val="1"/>
      <w:numFmt w:val="lowerLetter"/>
      <w:lvlText w:val="%1)"/>
      <w:lvlJc w:val="left"/>
      <w:pPr>
        <w:ind w:left="1222" w:hanging="360"/>
      </w:pPr>
      <w:rPr>
        <w:rFonts w:ascii="Calibri" w:eastAsia="Calibri" w:hAnsi="Calibri" w:cs="Calibri"/>
      </w:rPr>
    </w:lvl>
    <w:lvl w:ilvl="1">
      <w:start w:val="1"/>
      <w:numFmt w:val="lowerLetter"/>
      <w:lvlText w:val="%2."/>
      <w:lvlJc w:val="left"/>
      <w:pPr>
        <w:ind w:left="1942" w:hanging="360"/>
      </w:pPr>
    </w:lvl>
    <w:lvl w:ilvl="2">
      <w:start w:val="1"/>
      <w:numFmt w:val="lowerRoman"/>
      <w:lvlText w:val="%3."/>
      <w:lvlJc w:val="right"/>
      <w:pPr>
        <w:ind w:left="2662" w:hanging="180"/>
      </w:pPr>
    </w:lvl>
    <w:lvl w:ilvl="3">
      <w:start w:val="1"/>
      <w:numFmt w:val="decimal"/>
      <w:lvlText w:val="%4."/>
      <w:lvlJc w:val="left"/>
      <w:pPr>
        <w:ind w:left="3382" w:hanging="360"/>
      </w:pPr>
    </w:lvl>
    <w:lvl w:ilvl="4">
      <w:start w:val="1"/>
      <w:numFmt w:val="lowerLetter"/>
      <w:lvlText w:val="%5."/>
      <w:lvlJc w:val="left"/>
      <w:pPr>
        <w:ind w:left="4102" w:hanging="360"/>
      </w:pPr>
    </w:lvl>
    <w:lvl w:ilvl="5">
      <w:start w:val="1"/>
      <w:numFmt w:val="lowerRoman"/>
      <w:lvlText w:val="%6."/>
      <w:lvlJc w:val="right"/>
      <w:pPr>
        <w:ind w:left="4822" w:hanging="180"/>
      </w:pPr>
    </w:lvl>
    <w:lvl w:ilvl="6">
      <w:start w:val="1"/>
      <w:numFmt w:val="decimal"/>
      <w:lvlText w:val="%7."/>
      <w:lvlJc w:val="left"/>
      <w:pPr>
        <w:ind w:left="5542" w:hanging="360"/>
      </w:pPr>
    </w:lvl>
    <w:lvl w:ilvl="7">
      <w:start w:val="1"/>
      <w:numFmt w:val="lowerLetter"/>
      <w:lvlText w:val="%8."/>
      <w:lvlJc w:val="left"/>
      <w:pPr>
        <w:ind w:left="6262" w:hanging="360"/>
      </w:pPr>
    </w:lvl>
    <w:lvl w:ilvl="8">
      <w:start w:val="1"/>
      <w:numFmt w:val="lowerRoman"/>
      <w:lvlText w:val="%9."/>
      <w:lvlJc w:val="right"/>
      <w:pPr>
        <w:ind w:left="6982" w:hanging="180"/>
      </w:pPr>
    </w:lvl>
  </w:abstractNum>
  <w:abstractNum w:abstractNumId="14" w15:restartNumberingAfterBreak="0">
    <w:nsid w:val="7CF756DC"/>
    <w:multiLevelType w:val="multilevel"/>
    <w:tmpl w:val="F6F6FD0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  <w:rPr>
        <w:rFonts w:ascii="Calibri" w:eastAsia="Calibri" w:hAnsi="Calibri" w:cs="Calibri"/>
      </w:r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num w:numId="1">
    <w:abstractNumId w:val="3"/>
  </w:num>
  <w:num w:numId="2">
    <w:abstractNumId w:val="6"/>
  </w:num>
  <w:num w:numId="3">
    <w:abstractNumId w:val="1"/>
  </w:num>
  <w:num w:numId="4">
    <w:abstractNumId w:val="13"/>
  </w:num>
  <w:num w:numId="5">
    <w:abstractNumId w:val="11"/>
  </w:num>
  <w:num w:numId="6">
    <w:abstractNumId w:val="7"/>
  </w:num>
  <w:num w:numId="7">
    <w:abstractNumId w:val="12"/>
  </w:num>
  <w:num w:numId="8">
    <w:abstractNumId w:val="2"/>
  </w:num>
  <w:num w:numId="9">
    <w:abstractNumId w:val="5"/>
  </w:num>
  <w:num w:numId="10">
    <w:abstractNumId w:val="9"/>
  </w:num>
  <w:num w:numId="11">
    <w:abstractNumId w:val="8"/>
  </w:num>
  <w:num w:numId="12">
    <w:abstractNumId w:val="0"/>
  </w:num>
  <w:num w:numId="13">
    <w:abstractNumId w:val="10"/>
  </w:num>
  <w:num w:numId="14">
    <w:abstractNumId w:val="14"/>
  </w:num>
  <w:num w:numId="1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DFF053C3-211A-4C8F-A673-7CCC80D5C4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Calibri"/>
        <w:sz w:val="22"/>
        <w:szCs w:val="22"/>
        <w:lang w:val="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spacing w:line="240" w:lineRule="auto"/>
      <w:outlineLvl w:val="0"/>
    </w:pPr>
    <w:rPr>
      <w:rFonts w:ascii="Times New Roman" w:eastAsia="Times New Roman" w:hAnsi="Times New Roman" w:cs="Times New Roman"/>
      <w:b/>
      <w:bCs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Nagwek">
    <w:name w:val="header"/>
    <w:link w:val="NagwekZnak"/>
    <w:uiPriority w:val="99"/>
    <w:unhideWhenUsed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</w:style>
  <w:style w:type="paragraph" w:styleId="Stopka">
    <w:name w:val="footer"/>
    <w:link w:val="StopkaZnak"/>
    <w:uiPriority w:val="99"/>
    <w:unhideWhenUsed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</w:style>
  <w:style w:type="character" w:customStyle="1" w:styleId="Nagwek1Znak">
    <w:name w:val="Nagłówek 1 Znak"/>
    <w:basedOn w:val="Domylnaczcionkaakapitu"/>
    <w:uiPriority w:val="9"/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paragraph" w:styleId="NormalnyWeb">
    <w:name w:val="Normal (Web)"/>
    <w:uiPriority w:val="99"/>
    <w:unhideWhenUsed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Hipercze">
    <w:name w:val="Hyperlink"/>
    <w:basedOn w:val="Domylnaczcionkaakapitu"/>
    <w:uiPriority w:val="99"/>
    <w:semiHidden/>
    <w:unhideWhenUsed/>
    <w:rPr>
      <w:color w:val="0000FF"/>
      <w:u w:val="single"/>
    </w:rPr>
  </w:style>
  <w:style w:type="character" w:customStyle="1" w:styleId="apple-tab-span">
    <w:name w:val="apple-tab-span"/>
    <w:basedOn w:val="Domylnaczcionkaakapitu"/>
  </w:style>
  <w:style w:type="paragraph" w:styleId="Akapitzlist">
    <w:name w:val="List Paragraph"/>
    <w:aliases w:val="Preambuła,L1,Numerowanie,2 heading,A_wyliczenie,K-P_odwolanie,Akapit z listą5,maz_wyliczenie,opis dzialania,Akapit z listą 1,List Paragraph,Akapit z listą BS"/>
    <w:link w:val="AkapitzlistZnak"/>
    <w:qFormat/>
    <w:pPr>
      <w:ind w:left="720"/>
      <w:contextualSpacing/>
    </w:pPr>
  </w:style>
  <w:style w:type="character" w:styleId="Numerstrony">
    <w:name w:val="page number"/>
    <w:basedOn w:val="Domylnaczcionkaakapitu"/>
    <w:uiPriority w:val="99"/>
    <w:semiHidden/>
    <w:unhideWhenUsed/>
  </w:style>
  <w:style w:type="character" w:styleId="Odwoaniedokomentarza">
    <w:name w:val="annotation reference"/>
    <w:basedOn w:val="Domylnaczcionkaakapitu"/>
    <w:uiPriority w:val="99"/>
    <w:semiHidden/>
    <w:unhideWhenUsed/>
    <w:rPr>
      <w:sz w:val="16"/>
      <w:szCs w:val="16"/>
    </w:rPr>
  </w:style>
  <w:style w:type="paragraph" w:styleId="Tekstkomentarza">
    <w:name w:val="annotation text"/>
    <w:link w:val="TekstkomentarzaZnak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Pr>
      <w:rFonts w:ascii="Calibri" w:eastAsia="Calibri" w:hAnsi="Calibri" w:cs="Calibri"/>
      <w:sz w:val="20"/>
      <w:szCs w:val="20"/>
      <w:lang w:eastAsia="pl-PL"/>
    </w:rPr>
  </w:style>
  <w:style w:type="paragraph" w:styleId="Tekstdymka">
    <w:name w:val="Balloon Text"/>
    <w:link w:val="TekstdymkaZnak"/>
    <w:uiPriority w:val="99"/>
    <w:semiHidden/>
    <w:unhideWhenUsed/>
    <w:pPr>
      <w:spacing w:after="0"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Pr>
      <w:rFonts w:ascii="Times New Roman" w:hAnsi="Times New Roman" w:cs="Times New Roman"/>
      <w:sz w:val="18"/>
      <w:szCs w:val="18"/>
    </w:rPr>
  </w:style>
  <w:style w:type="paragraph" w:styleId="Bezodstpw">
    <w:name w:val="No Spacing"/>
    <w:uiPriority w:val="1"/>
    <w:qFormat/>
    <w:pPr>
      <w:spacing w:after="0" w:line="240" w:lineRule="auto"/>
    </w:p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Pr>
      <w:rFonts w:ascii="Calibri" w:eastAsia="Calibri" w:hAnsi="Calibri" w:cs="Calibri"/>
      <w:b/>
      <w:bCs/>
      <w:sz w:val="20"/>
      <w:szCs w:val="20"/>
      <w:lang w:eastAsia="pl-PL"/>
    </w:rPr>
  </w:style>
  <w:style w:type="character" w:customStyle="1" w:styleId="AkapitzlistZnak">
    <w:name w:val="Akapit z listą Znak"/>
    <w:aliases w:val="Preambuła Znak,L1 Znak,Numerowanie Znak,2 heading Znak,A_wyliczenie Znak,K-P_odwolanie Znak,Akapit z listą5 Znak,maz_wyliczenie Znak,opis dzialania Znak,Akapit z listą 1 Znak,List Paragraph Znak,Akapit z listą BS Znak"/>
    <w:link w:val="Akapitzlist"/>
    <w:qFormat/>
  </w:style>
  <w:style w:type="paragraph" w:styleId="Tekstprzypisudolnego">
    <w:name w:val="footnote text"/>
    <w:link w:val="TekstprzypisudolnegoZnak"/>
    <w:uiPriority w:val="99"/>
    <w:semiHidden/>
    <w:unhideWhenUsed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Pr>
      <w:vertAlign w:val="superscript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tC5HtacG6pk4iuzuipeZE+dQcdw==">CgMxLjAyDmguemVkdzZwbHFnam9pMg5oLnkzc3Y5Mmg4NGZxcDIOaC5sOTZnb2d4OGI2bTU4AHIhMXI4eHo0UE1FdHp0TTFDYVRSZWs3ZklDUXYtc3BnV21J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1907</Words>
  <Characters>11445</Characters>
  <Application>Microsoft Office Word</Application>
  <DocSecurity>0</DocSecurity>
  <Lines>95</Lines>
  <Paragraphs>26</Paragraphs>
  <ScaleCrop>false</ScaleCrop>
  <Company/>
  <LinksUpToDate>false</LinksUpToDate>
  <CharactersWithSpaces>13326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Rafał</dc:creator>
  <cp:lastModifiedBy>Ania</cp:lastModifiedBy>
  <cp:revision>2</cp:revision>
  <dcterms:created xsi:type="dcterms:W3CDTF">2025-08-18T18:03:00Z</dcterms:created>
  <dcterms:modified xsi:type="dcterms:W3CDTF">2026-01-26T11:58:00Z</dcterms:modified>
</cp:coreProperties>
</file>